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B52D3" w:rsidRPr="008620B1" w:rsidRDefault="00CB52D3">
      <w:pPr>
        <w:pStyle w:val="a4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10</w:t>
      </w:r>
      <w:r w:rsidR="00691D3E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8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年度新聘教師公告</w:t>
      </w:r>
    </w:p>
    <w:p w:rsidR="00CB52D3" w:rsidRPr="008620B1" w:rsidRDefault="00CB52D3">
      <w:pPr>
        <w:pStyle w:val="a4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5F45FC" w:rsidRDefault="00310234" w:rsidP="0010062E">
      <w:pPr>
        <w:pStyle w:val="a4"/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國立臺灣大學地理環境資源學系擬徵聘專任助理教授、副教授或教授共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1</w:t>
      </w:r>
      <w:r w:rsidR="008A4CA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至</w:t>
      </w:r>
      <w:r w:rsidR="008A4CA8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2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名，從事教學及研究工作，預訂起聘時間為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20</w:t>
      </w:r>
      <w:r w:rsidR="008A4CA8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20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年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8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月。申請者需獲有</w:t>
      </w:r>
      <w:r w:rsidR="0075127C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博士學位，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歡迎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以地理空間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議題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為研究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對象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的</w:t>
      </w:r>
      <w:r w:rsidR="0075127C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地理</w:t>
      </w:r>
      <w:r w:rsidR="0010062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學</w:t>
      </w:r>
      <w:r w:rsidR="0075127C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、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地</w:t>
      </w:r>
      <w:r w:rsidR="0010062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球與環境科學、區域與都市計畫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 w:rsidR="0074481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資訊</w:t>
      </w:r>
      <w:r w:rsidR="0010062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科學</w:t>
      </w:r>
      <w:r w:rsidR="0074481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、統計</w:t>
      </w:r>
      <w:r w:rsidR="0010062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學</w:t>
      </w:r>
      <w:r w:rsidR="0074481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、土木</w:t>
      </w:r>
      <w:r w:rsidR="0010062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工程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等</w:t>
      </w:r>
      <w:r w:rsidR="00D27286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相關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學術專長者提出申請，可強化本系</w:t>
      </w:r>
      <w:r w:rsidR="0075127C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在地理資訊科學</w:t>
      </w:r>
      <w:r w:rsidR="00C25692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與自然地理學</w:t>
      </w:r>
      <w:r w:rsidR="006162BD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的前瞻</w:t>
      </w:r>
      <w:r w:rsidR="00C25692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研究</w:t>
      </w:r>
      <w:r w:rsidR="0075127C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發展，</w:t>
      </w:r>
      <w:r w:rsidR="006162BD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或能夠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深化</w:t>
      </w:r>
      <w:r w:rsidR="00C25692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技術</w:t>
      </w:r>
      <w:r w:rsidR="0075127C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應用於人文社會</w:t>
      </w:r>
      <w:r w:rsidR="006162BD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、區域</w:t>
      </w:r>
      <w:r w:rsidR="00D27286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研究</w:t>
      </w:r>
      <w:r w:rsidR="0075127C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與環境</w:t>
      </w:r>
      <w:r w:rsidR="004E3995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永續等</w:t>
      </w:r>
      <w:r w:rsidR="0075127C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議題。優先考慮</w:t>
      </w:r>
      <w:r w:rsidR="005D640D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但不限於</w:t>
      </w:r>
      <w:r w:rsidR="0075127C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以下</w:t>
      </w:r>
      <w:r w:rsidR="005F45F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兩</w:t>
      </w:r>
      <w:r w:rsidR="0010062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項</w:t>
      </w:r>
      <w:r w:rsidR="0075127C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研究</w:t>
      </w:r>
      <w:r w:rsidR="0010062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領域</w:t>
      </w:r>
      <w:r w:rsidR="0075127C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：</w:t>
      </w:r>
    </w:p>
    <w:p w:rsidR="005F45FC" w:rsidRPr="005F45FC" w:rsidRDefault="005F45FC" w:rsidP="0010062E">
      <w:pPr>
        <w:pStyle w:val="a4"/>
        <w:numPr>
          <w:ilvl w:val="0"/>
          <w:numId w:val="1"/>
        </w:numPr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10062E">
        <w:rPr>
          <w:rFonts w:ascii="Times New Roman" w:eastAsia="標楷體" w:hAnsi="Times New Roman" w:cs="Times New Roman" w:hint="default"/>
          <w:b/>
          <w:color w:val="000000" w:themeColor="text1"/>
          <w:sz w:val="28"/>
          <w:szCs w:val="28"/>
          <w:shd w:val="clear" w:color="auto" w:fill="FFFFFF"/>
        </w:rPr>
        <w:t>地理資訊科學</w:t>
      </w:r>
      <w:r w:rsidR="003E05EB" w:rsidRPr="0010062E">
        <w:rPr>
          <w:rFonts w:ascii="Times New Roman" w:eastAsia="標楷體" w:hAnsi="Times New Roman" w:cs="Times New Roman" w:hint="default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(geographic information science)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：</w:t>
      </w:r>
      <w:r w:rsidR="004C2EC5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例如</w:t>
      </w:r>
      <w:r w:rsidR="0010062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，</w:t>
      </w:r>
      <w:r w:rsidR="00310234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空間資料</w:t>
      </w:r>
      <w:r w:rsidR="00B0087A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科學</w:t>
      </w:r>
      <w:r w:rsidR="00310234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與地理計算</w:t>
      </w:r>
      <w:r w:rsidR="00032DE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0234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(spatial data science and geo</w:t>
      </w:r>
      <w:r w:rsidR="00B72DD6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r w:rsidR="00310234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computation)</w:t>
      </w:r>
      <w:r w:rsidR="00032DE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、</w:t>
      </w:r>
      <w:r w:rsidR="00D62A0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地理</w:t>
      </w:r>
      <w:r w:rsidR="00310234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人工智慧</w:t>
      </w:r>
      <w:r w:rsidR="00032DE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0234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</w:t>
      </w:r>
      <w:r w:rsidR="00E11565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geo-</w:t>
      </w:r>
      <w:r w:rsidR="00310234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="00310234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I)</w:t>
      </w:r>
      <w:r w:rsidR="00032DE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、</w:t>
      </w:r>
      <w:r w:rsidR="00310234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遙</w:t>
      </w:r>
      <w:r w:rsidR="004E606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感探測</w:t>
      </w:r>
      <w:r w:rsidR="004E6068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310234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(remote sensing</w:t>
      </w:r>
      <w:r w:rsidR="00610AF2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="00610AF2" w:rsidRPr="00610AF2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610AF2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、</w:t>
      </w:r>
      <w:r w:rsidR="00610AF2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測量與製圖</w:t>
      </w:r>
      <w:r w:rsidR="00610AF2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技術</w:t>
      </w:r>
      <w:r w:rsidR="004E606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10AF2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610AF2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 xml:space="preserve">survey </w:t>
      </w:r>
      <w:r w:rsidR="00310234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 xml:space="preserve">and </w:t>
      </w:r>
      <w:r w:rsidR="00610AF2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mapping</w:t>
      </w:r>
      <w:r w:rsidR="00310234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 xml:space="preserve"> techniques)</w:t>
      </w:r>
      <w:r w:rsidR="00032DE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、</w:t>
      </w:r>
      <w:r w:rsidR="00032DE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地理視覺化</w:t>
      </w:r>
      <w:r w:rsidR="00310234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(geovisualization)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等</w:t>
      </w:r>
      <w:r w:rsidR="00032DE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。</w:t>
      </w:r>
    </w:p>
    <w:p w:rsidR="005F45FC" w:rsidRPr="005F45FC" w:rsidRDefault="0023748B" w:rsidP="0010062E">
      <w:pPr>
        <w:pStyle w:val="a4"/>
        <w:numPr>
          <w:ilvl w:val="0"/>
          <w:numId w:val="1"/>
        </w:numPr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1006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地球系統</w:t>
      </w:r>
      <w:r w:rsidR="004C2EC5" w:rsidRPr="001006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作用與應用</w:t>
      </w:r>
      <w:r w:rsidR="003E05EB" w:rsidRPr="001006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E05EB" w:rsidRPr="0010062E">
        <w:rPr>
          <w:rFonts w:ascii="Times New Roman" w:eastAsia="標楷體" w:hAnsi="Times New Roman" w:cs="Times New Roman" w:hint="default"/>
          <w:b/>
          <w:color w:val="000000" w:themeColor="text1"/>
          <w:sz w:val="28"/>
          <w:szCs w:val="28"/>
          <w:shd w:val="clear" w:color="auto" w:fill="FFFFFF"/>
          <w:lang w:val="en-US"/>
        </w:rPr>
        <w:t>(Earth system processes and applications)</w:t>
      </w:r>
      <w:r w:rsidR="00153C4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：</w:t>
      </w:r>
      <w:r w:rsidR="004C2EC5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例如</w:t>
      </w:r>
      <w:r w:rsidR="0010062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，</w:t>
      </w:r>
      <w:r w:rsidR="004C2EC5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地形與地表作用</w:t>
      </w:r>
      <w:r w:rsidR="006610CC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 xml:space="preserve"> (geomorphology and surface process)</w:t>
      </w:r>
      <w:r w:rsidR="004C2EC5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 w:rsidR="00EE3CD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森林生態</w:t>
      </w:r>
      <w:r w:rsidR="006610C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10CC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</w:t>
      </w:r>
      <w:r w:rsidR="00787402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forest ecosystem</w:t>
      </w:r>
      <w:r w:rsidR="006610C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="00EE3CD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 w:rsidR="000D2B6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陸域生物地球化學</w:t>
      </w:r>
      <w:r w:rsidR="006610C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10CC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</w:t>
      </w:r>
      <w:r w:rsidR="000D2B6C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terrestrial biogeochemistry</w:t>
      </w:r>
      <w:r w:rsidR="006610C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="00EE3CD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 w:rsidR="00153C4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自然災害</w:t>
      </w:r>
      <w:r w:rsidR="006610C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10CC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(natural hazards)</w:t>
      </w:r>
      <w:r w:rsidR="004C2EC5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、環境資源</w:t>
      </w:r>
      <w:r w:rsidR="0010062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保育</w:t>
      </w:r>
      <w:r w:rsidR="004C2EC5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與經理</w:t>
      </w:r>
      <w:r w:rsidR="006610C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10CC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(environmental resource</w:t>
      </w:r>
      <w:r w:rsidR="00BF12E0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 xml:space="preserve"> conservation</w:t>
      </w:r>
      <w:r w:rsidR="006610CC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 xml:space="preserve"> and management)</w:t>
      </w:r>
      <w:r w:rsidR="00EE3CD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。</w:t>
      </w:r>
    </w:p>
    <w:p w:rsidR="0010062E" w:rsidRDefault="0010062E" w:rsidP="0010062E">
      <w:pPr>
        <w:pStyle w:val="a4"/>
        <w:spacing w:line="400" w:lineRule="exact"/>
        <w:ind w:firstLine="360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744819" w:rsidRPr="008620B1" w:rsidRDefault="00744819" w:rsidP="0010062E">
      <w:pPr>
        <w:pStyle w:val="a4"/>
        <w:spacing w:line="400" w:lineRule="exact"/>
        <w:ind w:firstLine="360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我們期望申請者</w:t>
      </w:r>
      <w:r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具有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領導創新地理</w:t>
      </w:r>
      <w:r w:rsidR="00310234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議題</w:t>
      </w:r>
      <w:r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的學術潛力</w:t>
      </w:r>
      <w:r w:rsidR="00310234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、投入教學熱忱、並能和</w:t>
      </w:r>
      <w:r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本系</w:t>
      </w:r>
      <w:r w:rsidR="00310234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同儕</w:t>
      </w:r>
      <w:r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共同</w:t>
      </w:r>
      <w:r w:rsidR="00310234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合作</w:t>
      </w:r>
      <w:r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，拓展跨學科整合的</w:t>
      </w:r>
      <w:r w:rsidR="00310234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能力。</w:t>
      </w:r>
    </w:p>
    <w:p w:rsidR="00744819" w:rsidRPr="008620B1" w:rsidRDefault="00744819" w:rsidP="0010062E">
      <w:pPr>
        <w:pStyle w:val="a4"/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E67354" w:rsidRPr="008620B1" w:rsidRDefault="00310234" w:rsidP="0010062E">
      <w:pPr>
        <w:pStyle w:val="a4"/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本系相關資訊請參考：</w:t>
      </w:r>
      <w:hyperlink r:id="rId7" w:history="1">
        <w:r w:rsidRPr="008620B1">
          <w:rPr>
            <w:rStyle w:val="Hyperlink0"/>
            <w:rFonts w:ascii="Times New Roman" w:eastAsia="標楷體" w:hAnsi="Times New Roman" w:cs="Times New Roman" w:hint="default"/>
            <w:color w:val="000000" w:themeColor="text1"/>
            <w:sz w:val="28"/>
            <w:szCs w:val="28"/>
            <w:shd w:val="clear" w:color="auto" w:fill="FFFFFF"/>
            <w:lang w:val="en-US"/>
          </w:rPr>
          <w:t>http://www.geog.ntu.edu.tw/</w:t>
        </w:r>
      </w:hyperlink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。</w:t>
      </w:r>
    </w:p>
    <w:p w:rsidR="00E67354" w:rsidRPr="008620B1" w:rsidRDefault="00E67354" w:rsidP="0010062E">
      <w:pPr>
        <w:pStyle w:val="a4"/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E67354" w:rsidRPr="008620B1" w:rsidRDefault="00310234" w:rsidP="0010062E">
      <w:pPr>
        <w:pStyle w:val="a4"/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意者請備妥：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(1)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一封申請信，內容應包含在本系的教學及研究計畫；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(2)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履歷自傳；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(3)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博士學位證書影本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或是由指導教授出具，保證申請人能於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20</w:t>
      </w:r>
      <w:r w:rsidR="008A4CA8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20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年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5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月前取得博士學位證書的文件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)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；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(4)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歷年著作目錄；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(5)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五年內著作各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1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份</w:t>
      </w:r>
      <w:r w:rsidR="008636EF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8636EF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若著作收錄於</w:t>
      </w:r>
      <w:r w:rsidR="008636EF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SCI/SSCI/TSSCI</w:t>
      </w:r>
      <w:r w:rsidR="008636EF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等索引資料庫，請標註</w:t>
      </w:r>
      <w:r w:rsidR="008636EF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，並指明三年內著作一篇為代表作，此代表作應為已印行在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de-DE"/>
        </w:rPr>
        <w:t>SCI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、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de-DE"/>
        </w:rPr>
        <w:t>SSCI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期刊之論文，且為第一作者或通訊作者，或其它等同標準之著作，如經嚴格審查之專書著作；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(6) </w:t>
      </w:r>
      <w:r w:rsidR="008B5212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三位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推薦</w:t>
      </w:r>
      <w:r w:rsidR="008B5212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人</w:t>
      </w:r>
      <w:r w:rsidR="001B3960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之</w:t>
      </w:r>
      <w:r w:rsidR="008B5212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聯絡</w:t>
      </w:r>
      <w:r w:rsidR="001B3960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資訊</w:t>
      </w:r>
      <w:r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。</w:t>
      </w:r>
      <w:r w:rsidR="000467C2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(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審查資料不退還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)</w:t>
      </w:r>
    </w:p>
    <w:p w:rsidR="0065557F" w:rsidRDefault="0065557F" w:rsidP="0010062E">
      <w:pPr>
        <w:pStyle w:val="a4"/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65557F" w:rsidRPr="008620B1" w:rsidRDefault="000467C2" w:rsidP="0010062E">
      <w:pPr>
        <w:pStyle w:val="a4"/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申請截止日期為</w:t>
      </w:r>
      <w:r w:rsidR="008A4CA8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2019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年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1</w:t>
      </w:r>
      <w:r w:rsidR="008466D0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月</w:t>
      </w:r>
      <w:r w:rsidR="008466D0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3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0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日。請將資料</w:t>
      </w:r>
      <w:bookmarkStart w:id="0" w:name="_GoBack"/>
      <w:bookmarkEnd w:id="0"/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寄至：</w:t>
      </w:r>
    </w:p>
    <w:p w:rsidR="000467C2" w:rsidRPr="008620B1" w:rsidRDefault="000467C2" w:rsidP="0010062E">
      <w:pPr>
        <w:pStyle w:val="a4"/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 xml:space="preserve">106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臺北市羅斯福路四段一號</w:t>
      </w:r>
    </w:p>
    <w:p w:rsidR="000467C2" w:rsidRPr="008620B1" w:rsidRDefault="000467C2" w:rsidP="0010062E">
      <w:pPr>
        <w:pStyle w:val="a4"/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國立臺灣大學地理環境資源學系</w:t>
      </w:r>
    </w:p>
    <w:p w:rsidR="000467C2" w:rsidRPr="008620B1" w:rsidRDefault="000467C2" w:rsidP="0010062E">
      <w:pPr>
        <w:pStyle w:val="a4"/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溫在弘主任</w:t>
      </w:r>
    </w:p>
    <w:p w:rsidR="000467C2" w:rsidRPr="008620B1" w:rsidRDefault="000467C2" w:rsidP="0010062E">
      <w:pPr>
        <w:pStyle w:val="a4"/>
        <w:spacing w:line="400" w:lineRule="exact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Tel: +886-2-3366</w:t>
      </w:r>
      <w:r w:rsidR="003B417E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5820</w:t>
      </w:r>
    </w:p>
    <w:p w:rsidR="00744819" w:rsidRPr="009011F4" w:rsidRDefault="000467C2" w:rsidP="0010062E">
      <w:pPr>
        <w:pStyle w:val="a4"/>
        <w:spacing w:line="400" w:lineRule="exact"/>
        <w:rPr>
          <w:rFonts w:hint="default"/>
          <w:b/>
          <w:bCs/>
          <w:color w:val="333333"/>
          <w:sz w:val="28"/>
          <w:szCs w:val="28"/>
          <w:shd w:val="clear" w:color="auto" w:fill="FFFFFF"/>
          <w:lang w:val="en-US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 xml:space="preserve">mail: </w:t>
      </w:r>
      <w:r w:rsidR="003B417E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wenth</w:t>
      </w:r>
      <w:r w:rsidR="00780BE0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ung@ntu.edu.tw</w:t>
      </w:r>
      <w:r w:rsidR="00744819" w:rsidRPr="009011F4">
        <w:rPr>
          <w:b/>
          <w:bCs/>
          <w:color w:val="333333"/>
          <w:sz w:val="28"/>
          <w:szCs w:val="28"/>
          <w:shd w:val="clear" w:color="auto" w:fill="FFFFFF"/>
          <w:lang w:val="en-US"/>
        </w:rPr>
        <w:br w:type="page"/>
      </w:r>
    </w:p>
    <w:p w:rsidR="00E67354" w:rsidRPr="00D7435F" w:rsidRDefault="00310234">
      <w:pPr>
        <w:pStyle w:val="a4"/>
        <w:rPr>
          <w:rFonts w:ascii="Calibri" w:eastAsia="Times New Roman" w:hAnsi="Calibri" w:cs="Times New Roman" w:hint="default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D7435F">
        <w:rPr>
          <w:rFonts w:ascii="Calibri" w:hAnsi="Calibri" w:hint="default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>JOB ANNOUNCEMENT</w:t>
      </w:r>
    </w:p>
    <w:p w:rsidR="00E67354" w:rsidRPr="00D7435F" w:rsidRDefault="00E67354">
      <w:pPr>
        <w:pStyle w:val="a4"/>
        <w:rPr>
          <w:rFonts w:ascii="Times New Roman" w:eastAsia="Times New Roman" w:hAnsi="Times New Roman" w:cs="Times New Roman" w:hint="default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CC7192" w:rsidRPr="0010062E" w:rsidRDefault="00310234" w:rsidP="0010062E">
      <w:pPr>
        <w:pStyle w:val="a4"/>
        <w:spacing w:afterLines="50" w:after="120" w:line="360" w:lineRule="exact"/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The Department of Geography, National Taiwan University (NTU) is seeking applications for </w:t>
      </w:r>
      <w:r w:rsidR="008A4CA8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1 to 2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tenure-track or tenured position</w:t>
      </w:r>
      <w:r w:rsidR="008A4CA8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s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at all ranks beginning in </w:t>
      </w:r>
      <w:r w:rsidR="00553F6A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August 20</w:t>
      </w:r>
      <w:r w:rsidR="008A4CA8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20</w:t>
      </w:r>
      <w:r w:rsidR="00553F6A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. We invite</w:t>
      </w:r>
      <w:r w:rsidR="00183D40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applicants 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with a Ph.D. degree </w:t>
      </w:r>
      <w:r w:rsidR="00B023AB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in 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geography or related disciplines, whos</w:t>
      </w:r>
      <w:r w:rsidR="00183D40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e research will strengthen the </w:t>
      </w:r>
      <w:r w:rsidR="00AD4574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department’s GISceince</w:t>
      </w:r>
      <w:r w:rsidR="00183D40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B023AB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program </w:t>
      </w:r>
      <w:r w:rsidR="00181939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or</w:t>
      </w:r>
      <w:r w:rsidR="00183D40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B023AB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the </w:t>
      </w:r>
      <w:r w:rsidR="00183D40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applications </w:t>
      </w:r>
      <w:r w:rsidR="00B023AB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of</w:t>
      </w:r>
      <w:r w:rsidR="004042CB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181939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human </w:t>
      </w:r>
      <w:r w:rsidR="00B023AB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or </w:t>
      </w:r>
      <w:r w:rsidR="00181939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physical geography</w:t>
      </w:r>
      <w:r w:rsidR="00183D40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. </w:t>
      </w:r>
      <w:r w:rsidR="000519BA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We </w:t>
      </w:r>
      <w:r w:rsidR="00A6019A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are conducting a broad search and </w:t>
      </w:r>
      <w:r w:rsidR="000519BA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consider</w:t>
      </w:r>
      <w:r w:rsidR="00A6019A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ing</w:t>
      </w:r>
      <w:r w:rsidR="000519BA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A6019A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appointments in</w:t>
      </w:r>
      <w:r w:rsidR="00CC7192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the following two</w:t>
      </w:r>
      <w:r w:rsidR="00A6019A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CC7192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research </w:t>
      </w:r>
      <w:r w:rsidR="00A6019A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areas</w:t>
      </w:r>
      <w:r w:rsidR="009832B1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including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, but not restricted to: </w:t>
      </w:r>
    </w:p>
    <w:p w:rsidR="00CC7192" w:rsidRPr="0010062E" w:rsidRDefault="00CC7192" w:rsidP="0010062E">
      <w:pPr>
        <w:pStyle w:val="a4"/>
        <w:numPr>
          <w:ilvl w:val="0"/>
          <w:numId w:val="2"/>
        </w:numPr>
        <w:spacing w:afterLines="50" w:after="120" w:line="360" w:lineRule="exact"/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10062E">
        <w:rPr>
          <w:rFonts w:ascii="Times New Roman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>Geographic information science</w:t>
      </w:r>
      <w:r w:rsidR="00C30B59" w:rsidRPr="0010062E">
        <w:rPr>
          <w:rFonts w:ascii="Times New Roman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>:</w:t>
      </w:r>
      <w:r w:rsidRPr="0010062E">
        <w:rPr>
          <w:rFonts w:ascii="Times New Roman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including </w:t>
      </w:r>
      <w:r w:rsidR="00310234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spatial data science</w:t>
      </w:r>
      <w:r w:rsidRPr="0010062E">
        <w:rPr>
          <w:rFonts w:ascii="新細明體" w:eastAsia="新細明體" w:hAnsi="新細明體" w:cs="新細明體" w:hint="default"/>
          <w:color w:val="000000" w:themeColor="text1"/>
          <w:sz w:val="25"/>
          <w:szCs w:val="25"/>
          <w:shd w:val="clear" w:color="auto" w:fill="FFFFFF"/>
          <w:lang w:val="en-US"/>
        </w:rPr>
        <w:t>,</w:t>
      </w:r>
      <w:r w:rsidR="00310234" w:rsidRPr="0010062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310234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geo</w:t>
      </w:r>
      <w:r w:rsidR="00115980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-</w:t>
      </w:r>
      <w:r w:rsidR="00310234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computation, 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geo-AI</w:t>
      </w:r>
      <w:r w:rsidR="00310234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, remote sensing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,</w:t>
      </w:r>
      <w:r w:rsidR="00310234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survey and mapping techniques</w:t>
      </w:r>
      <w:r w:rsidR="00310234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, and geovisualization.</w:t>
      </w:r>
      <w:r w:rsidR="00115980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</w:p>
    <w:p w:rsidR="00CC7192" w:rsidRPr="0010062E" w:rsidRDefault="00FC512A" w:rsidP="0010062E">
      <w:pPr>
        <w:pStyle w:val="a4"/>
        <w:numPr>
          <w:ilvl w:val="0"/>
          <w:numId w:val="2"/>
        </w:numPr>
        <w:spacing w:afterLines="50" w:after="120" w:line="360" w:lineRule="exact"/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10062E">
        <w:rPr>
          <w:rFonts w:ascii="Times New Roman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>Earth system process and</w:t>
      </w:r>
      <w:r w:rsidR="00C30B59" w:rsidRPr="0010062E">
        <w:rPr>
          <w:rFonts w:ascii="Times New Roman" w:hAnsi="Times New Roman" w:cs="Times New Roman"/>
          <w:b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C30B59" w:rsidRPr="0010062E">
        <w:rPr>
          <w:rFonts w:ascii="Times New Roman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>applications:</w:t>
      </w:r>
      <w:r w:rsidR="00C30B59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including</w:t>
      </w:r>
      <w:r w:rsidR="00916ED9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BF12E0" w:rsidRPr="0010062E">
        <w:rPr>
          <w:rFonts w:ascii="Times New Roman" w:eastAsia="標楷體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geomorphology and surface process, forest ecosystem, terrestrial biogeochemistry,</w:t>
      </w:r>
      <w:r w:rsidR="00BF12E0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916ED9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natural hazards, </w:t>
      </w:r>
      <w:r w:rsidR="006349D4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and </w:t>
      </w:r>
      <w:r w:rsidR="00A270E9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environmental resource conservation and management</w:t>
      </w:r>
      <w:r w:rsidR="006349D4" w:rsidRPr="0010062E">
        <w:rPr>
          <w:rFonts w:ascii="新細明體" w:eastAsia="新細明體" w:hAnsi="新細明體" w:cs="新細明體" w:hint="default"/>
          <w:color w:val="000000" w:themeColor="text1"/>
          <w:sz w:val="25"/>
          <w:szCs w:val="25"/>
          <w:shd w:val="clear" w:color="auto" w:fill="FFFFFF"/>
          <w:lang w:val="en-US"/>
        </w:rPr>
        <w:t>.</w:t>
      </w:r>
    </w:p>
    <w:p w:rsidR="00E67354" w:rsidRPr="0010062E" w:rsidRDefault="00115980" w:rsidP="0010062E">
      <w:pPr>
        <w:pStyle w:val="a4"/>
        <w:spacing w:afterLines="50" w:after="120" w:line="360" w:lineRule="exact"/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Leadership in cutting-edge collaborative research within- and cross-departments, and strong commitments to teaching and mentoring are expected</w:t>
      </w:r>
      <w:r w:rsidR="00310234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. For more information about the department, please see </w:t>
      </w:r>
      <w:hyperlink r:id="rId8" w:history="1">
        <w:r w:rsidR="00D7435F" w:rsidRPr="0010062E">
          <w:rPr>
            <w:rStyle w:val="a3"/>
            <w:rFonts w:ascii="Times New Roman" w:hAnsi="Times New Roman" w:cs="Times New Roman" w:hint="default"/>
            <w:color w:val="0070C0"/>
            <w:sz w:val="25"/>
            <w:szCs w:val="25"/>
            <w:shd w:val="clear" w:color="auto" w:fill="FFFFFF"/>
            <w:lang w:val="en-US"/>
          </w:rPr>
          <w:t>http://www.geog.ntu.edu.tw/</w:t>
        </w:r>
      </w:hyperlink>
    </w:p>
    <w:p w:rsidR="00D7435F" w:rsidRPr="0010062E" w:rsidRDefault="00D7435F" w:rsidP="00115980">
      <w:pPr>
        <w:pStyle w:val="a4"/>
        <w:spacing w:line="360" w:lineRule="exact"/>
        <w:jc w:val="both"/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</w:p>
    <w:p w:rsidR="00E67354" w:rsidRPr="0010062E" w:rsidRDefault="00310234" w:rsidP="00115980">
      <w:pPr>
        <w:pStyle w:val="a4"/>
        <w:spacing w:line="360" w:lineRule="exact"/>
        <w:rPr>
          <w:rFonts w:ascii="Times New Roman" w:eastAsia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Qualified candidates must hold a Ph.D. degree at the time of application. Those who finish their study program, including the Ph.D. dissertation requirement, and expect to graduate by May 201</w:t>
      </w:r>
      <w:r w:rsidR="008A4CA8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9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, but </w:t>
      </w:r>
      <w:r w:rsidR="00B023AB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have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not yet </w:t>
      </w:r>
      <w:r w:rsidR="00B023AB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obtained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the diploma </w:t>
      </w:r>
      <w:r w:rsidR="00B023AB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may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be considered as a qualified candidate, only on the condition with a confirmation from his/her Ph.D. adviser. Applicants should be proficient in lecturing in either English or Mandarin Chinese. To apply please submit the following materials</w:t>
      </w:r>
      <w:r w:rsidR="00815B8D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815B8D" w:rsidRPr="0010062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in a package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115980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to the </w:t>
      </w:r>
      <w:r w:rsidR="00B023AB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d</w:t>
      </w:r>
      <w:r w:rsidR="00115980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epartment </w:t>
      </w:r>
      <w:r w:rsidR="00B023AB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c</w:t>
      </w:r>
      <w:r w:rsidR="00115980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hair, Professor Tzai-Hung Wen</w:t>
      </w:r>
      <w:r w:rsidR="00815B8D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or</w:t>
      </w:r>
      <w:r w:rsidR="00115980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by </w:t>
      </w:r>
      <w:r w:rsidR="008620B1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e-</w:t>
      </w:r>
      <w:r w:rsidR="00115980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mail (</w:t>
      </w:r>
      <w:hyperlink r:id="rId9" w:history="1">
        <w:r w:rsidR="00115980" w:rsidRPr="0010062E">
          <w:rPr>
            <w:rStyle w:val="a3"/>
            <w:rFonts w:ascii="Times New Roman" w:hAnsi="Times New Roman" w:cs="Times New Roman" w:hint="default"/>
            <w:sz w:val="25"/>
            <w:szCs w:val="25"/>
            <w:shd w:val="clear" w:color="auto" w:fill="FFFFFF"/>
            <w:lang w:val="en-US"/>
          </w:rPr>
          <w:t>wenthung@ntu.edu.tw</w:t>
        </w:r>
      </w:hyperlink>
      <w:r w:rsidR="00115980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)</w:t>
      </w:r>
      <w:r w:rsidR="00115980" w:rsidRPr="0010062E">
        <w:rPr>
          <w:rFonts w:ascii="Times New Roman" w:eastAsiaTheme="minorEastAsia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by </w:t>
      </w:r>
      <w:r w:rsidR="008466D0" w:rsidRPr="008466D0">
        <w:rPr>
          <w:rFonts w:ascii="Times New Roman" w:eastAsiaTheme="minorEastAsia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November</w:t>
      </w:r>
      <w:r w:rsidRPr="008466D0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8466D0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3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0, 201</w:t>
      </w:r>
      <w:r w:rsidR="008A4CA8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9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: (1) a letter of application describing how he/she would contribute to the Department’s teaching and research programs; (2) a curriculum vitae; (3) a copy of PhD diploma; (4) a complete publication list; (5) recent selected publi</w:t>
      </w:r>
      <w:r w:rsidR="00A03763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cations (published after 201</w:t>
      </w:r>
      <w:r w:rsidR="008A4CA8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4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) and a represent</w:t>
      </w:r>
      <w:r w:rsidR="00A03763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ative work (published after 201</w:t>
      </w:r>
      <w:r w:rsidR="008A4CA8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6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); (6) </w:t>
      </w:r>
      <w:r w:rsidR="008B5212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a list of 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three </w:t>
      </w:r>
      <w:r w:rsidR="009011F4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referees</w:t>
      </w:r>
      <w:r w:rsidR="008B5212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. 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The applicant should be the first and/or corresponding author for the representative paper,</w:t>
      </w:r>
      <w:r w:rsidR="009011F4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which should be published in a SCI</w:t>
      </w:r>
      <w:r w:rsidR="009011F4" w:rsidRPr="009011F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9011F4" w:rsidRPr="009011F4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or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SSCI indexed journal or </w:t>
      </w:r>
      <w:r w:rsidR="00A433C5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refereed</w:t>
      </w:r>
      <w:r w:rsidR="009011F4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book/book chapter. We note that the application materials will not be returned to the applicants.</w:t>
      </w:r>
      <w:r w:rsidR="00D7435F"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</w:p>
    <w:p w:rsidR="00E67354" w:rsidRPr="0010062E" w:rsidRDefault="00E67354" w:rsidP="00115980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right="998"/>
        <w:jc w:val="both"/>
        <w:rPr>
          <w:rFonts w:ascii="Times New Roman" w:eastAsiaTheme="minorEastAsia" w:hAnsi="Times New Roman" w:cs="Times New Roman" w:hint="default"/>
          <w:color w:val="000000" w:themeColor="text1"/>
          <w:sz w:val="25"/>
          <w:szCs w:val="25"/>
          <w:lang w:val="en-US"/>
        </w:rPr>
      </w:pPr>
    </w:p>
    <w:p w:rsidR="00E67354" w:rsidRPr="0010062E" w:rsidRDefault="00310234">
      <w:pPr>
        <w:pStyle w:val="a4"/>
        <w:jc w:val="both"/>
        <w:rPr>
          <w:rFonts w:ascii="Times New Roman" w:eastAsia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National Taiwan University is an equal opportunity/affirmative action employer. Minorities and women are encouraged to apply.</w:t>
      </w:r>
    </w:p>
    <w:p w:rsidR="00E67354" w:rsidRPr="0010062E" w:rsidRDefault="00E67354">
      <w:pPr>
        <w:pStyle w:val="a4"/>
        <w:rPr>
          <w:rFonts w:hint="default"/>
          <w:color w:val="333333"/>
          <w:sz w:val="25"/>
          <w:szCs w:val="25"/>
          <w:shd w:val="clear" w:color="auto" w:fill="FFFFFF"/>
          <w:lang w:val="en-US"/>
        </w:rPr>
      </w:pPr>
    </w:p>
    <w:p w:rsidR="00115980" w:rsidRPr="0010062E" w:rsidRDefault="00115980" w:rsidP="00115980">
      <w:pPr>
        <w:adjustRightInd w:val="0"/>
        <w:snapToGrid w:val="0"/>
        <w:jc w:val="both"/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 xml:space="preserve">Professor </w:t>
      </w:r>
      <w:r w:rsidRPr="0010062E"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  <w:t>Tzai-Hung Wen</w:t>
      </w:r>
    </w:p>
    <w:p w:rsidR="00115980" w:rsidRPr="0010062E" w:rsidRDefault="00115980" w:rsidP="00115980">
      <w:pPr>
        <w:adjustRightInd w:val="0"/>
        <w:snapToGrid w:val="0"/>
        <w:jc w:val="both"/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 xml:space="preserve">Chair, Department of Geography </w:t>
      </w:r>
    </w:p>
    <w:p w:rsidR="00115980" w:rsidRPr="0010062E" w:rsidRDefault="00115980" w:rsidP="00115980">
      <w:pPr>
        <w:adjustRightInd w:val="0"/>
        <w:snapToGrid w:val="0"/>
        <w:jc w:val="both"/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>National Taiwan University</w:t>
      </w:r>
    </w:p>
    <w:p w:rsidR="00115980" w:rsidRPr="0010062E" w:rsidRDefault="00115980" w:rsidP="00115980">
      <w:pPr>
        <w:adjustRightInd w:val="0"/>
        <w:snapToGrid w:val="0"/>
        <w:jc w:val="both"/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>No. 1, Section 4, Roosevelt Road</w:t>
      </w:r>
    </w:p>
    <w:p w:rsidR="00115980" w:rsidRPr="0010062E" w:rsidRDefault="00115980" w:rsidP="00115980">
      <w:pPr>
        <w:adjustRightInd w:val="0"/>
        <w:snapToGrid w:val="0"/>
        <w:jc w:val="both"/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>Taipei, Taiwan 106</w:t>
      </w:r>
    </w:p>
    <w:p w:rsidR="00115980" w:rsidRPr="0010062E" w:rsidRDefault="00115980" w:rsidP="00115980">
      <w:pPr>
        <w:adjustRightInd w:val="0"/>
        <w:snapToGrid w:val="0"/>
        <w:jc w:val="both"/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>Tel: +886-2-33665820; Fax: +886-2-23622911</w:t>
      </w:r>
    </w:p>
    <w:p w:rsidR="00E67354" w:rsidRPr="0010062E" w:rsidRDefault="00115980" w:rsidP="00115980">
      <w:pPr>
        <w:jc w:val="both"/>
        <w:rPr>
          <w:sz w:val="25"/>
          <w:szCs w:val="25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 xml:space="preserve">E-mail: </w:t>
      </w:r>
      <w:hyperlink r:id="rId10" w:history="1">
        <w:r w:rsidRPr="0010062E">
          <w:rPr>
            <w:rFonts w:eastAsia="Helvetica Neue"/>
            <w:color w:val="000000" w:themeColor="text1"/>
            <w:sz w:val="25"/>
            <w:szCs w:val="25"/>
            <w:lang w:eastAsia="zh-TW"/>
          </w:rPr>
          <w:t>wenthung@ntu.edu.tw</w:t>
        </w:r>
      </w:hyperlink>
    </w:p>
    <w:sectPr w:rsidR="00E67354" w:rsidRPr="0010062E" w:rsidSect="008636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602" w:rsidRDefault="00381602">
      <w:r>
        <w:separator/>
      </w:r>
    </w:p>
  </w:endnote>
  <w:endnote w:type="continuationSeparator" w:id="0">
    <w:p w:rsidR="00381602" w:rsidRDefault="0038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CA8" w:rsidRDefault="008A4CA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CA8" w:rsidRDefault="008A4CA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CA8" w:rsidRDefault="008A4C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602" w:rsidRDefault="00381602">
      <w:r>
        <w:separator/>
      </w:r>
    </w:p>
  </w:footnote>
  <w:footnote w:type="continuationSeparator" w:id="0">
    <w:p w:rsidR="00381602" w:rsidRDefault="0038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CA8" w:rsidRDefault="008A4C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CA8" w:rsidRDefault="008A4CA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CA8" w:rsidRDefault="008A4C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6F93"/>
    <w:multiLevelType w:val="hybridMultilevel"/>
    <w:tmpl w:val="C5ACF476"/>
    <w:lvl w:ilvl="0" w:tplc="E7820024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8D655A"/>
    <w:multiLevelType w:val="hybridMultilevel"/>
    <w:tmpl w:val="D0142F8A"/>
    <w:lvl w:ilvl="0" w:tplc="D5744D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IwNzWwMLU0MbUwMrVU0lEKTi0uzszPAykwrAUAzRf5SiwAAAA="/>
  </w:docVars>
  <w:rsids>
    <w:rsidRoot w:val="00E67354"/>
    <w:rsid w:val="00032DE9"/>
    <w:rsid w:val="000467C2"/>
    <w:rsid w:val="000519BA"/>
    <w:rsid w:val="000D2B6C"/>
    <w:rsid w:val="000F3DEC"/>
    <w:rsid w:val="0010062E"/>
    <w:rsid w:val="00115980"/>
    <w:rsid w:val="0013579B"/>
    <w:rsid w:val="00153C4C"/>
    <w:rsid w:val="00160D0F"/>
    <w:rsid w:val="00181939"/>
    <w:rsid w:val="00183D40"/>
    <w:rsid w:val="001B3960"/>
    <w:rsid w:val="001D6DD6"/>
    <w:rsid w:val="0023748B"/>
    <w:rsid w:val="0027692F"/>
    <w:rsid w:val="002C7FAC"/>
    <w:rsid w:val="00310234"/>
    <w:rsid w:val="00381602"/>
    <w:rsid w:val="003B1125"/>
    <w:rsid w:val="003B417E"/>
    <w:rsid w:val="003E05EB"/>
    <w:rsid w:val="004042CB"/>
    <w:rsid w:val="0046176B"/>
    <w:rsid w:val="004A22C0"/>
    <w:rsid w:val="004C2EC5"/>
    <w:rsid w:val="004E3995"/>
    <w:rsid w:val="004E6068"/>
    <w:rsid w:val="00553F6A"/>
    <w:rsid w:val="005707E9"/>
    <w:rsid w:val="005D640D"/>
    <w:rsid w:val="005F45FC"/>
    <w:rsid w:val="00610AF2"/>
    <w:rsid w:val="006162BD"/>
    <w:rsid w:val="006349D4"/>
    <w:rsid w:val="006365A6"/>
    <w:rsid w:val="0065557F"/>
    <w:rsid w:val="006610CC"/>
    <w:rsid w:val="00691D3E"/>
    <w:rsid w:val="00724CDA"/>
    <w:rsid w:val="00744819"/>
    <w:rsid w:val="0075127C"/>
    <w:rsid w:val="00756E04"/>
    <w:rsid w:val="00780BE0"/>
    <w:rsid w:val="007856E4"/>
    <w:rsid w:val="00787402"/>
    <w:rsid w:val="0080310F"/>
    <w:rsid w:val="00815B8D"/>
    <w:rsid w:val="008466D0"/>
    <w:rsid w:val="008620B1"/>
    <w:rsid w:val="008636EF"/>
    <w:rsid w:val="008A4CA8"/>
    <w:rsid w:val="008B5212"/>
    <w:rsid w:val="009011F4"/>
    <w:rsid w:val="00916ED9"/>
    <w:rsid w:val="009809F9"/>
    <w:rsid w:val="009832B1"/>
    <w:rsid w:val="009B6B1D"/>
    <w:rsid w:val="009E49C3"/>
    <w:rsid w:val="00A03763"/>
    <w:rsid w:val="00A270E9"/>
    <w:rsid w:val="00A433C5"/>
    <w:rsid w:val="00A6019A"/>
    <w:rsid w:val="00A861BE"/>
    <w:rsid w:val="00AD4574"/>
    <w:rsid w:val="00B0087A"/>
    <w:rsid w:val="00B023AB"/>
    <w:rsid w:val="00B72DD6"/>
    <w:rsid w:val="00BF12E0"/>
    <w:rsid w:val="00C13A7D"/>
    <w:rsid w:val="00C25692"/>
    <w:rsid w:val="00C30B59"/>
    <w:rsid w:val="00CB2B77"/>
    <w:rsid w:val="00CB52D3"/>
    <w:rsid w:val="00CC7192"/>
    <w:rsid w:val="00D27286"/>
    <w:rsid w:val="00D53A55"/>
    <w:rsid w:val="00D62A0C"/>
    <w:rsid w:val="00D6753D"/>
    <w:rsid w:val="00D713C0"/>
    <w:rsid w:val="00D7435F"/>
    <w:rsid w:val="00DC262B"/>
    <w:rsid w:val="00E11565"/>
    <w:rsid w:val="00E67354"/>
    <w:rsid w:val="00EA614C"/>
    <w:rsid w:val="00EE3CD8"/>
    <w:rsid w:val="00F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85B7B"/>
  <w15:docId w15:val="{6350E881-6CE3-A644-A430-856FD877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customStyle="1" w:styleId="a5">
    <w:name w:val="無"/>
  </w:style>
  <w:style w:type="character" w:customStyle="1" w:styleId="Hyperlink0">
    <w:name w:val="Hyperlink.0"/>
    <w:basedOn w:val="a5"/>
    <w:rPr>
      <w:color w:val="0077BA"/>
    </w:rPr>
  </w:style>
  <w:style w:type="paragraph" w:styleId="a6">
    <w:name w:val="header"/>
    <w:basedOn w:val="a"/>
    <w:link w:val="a7"/>
    <w:uiPriority w:val="99"/>
    <w:unhideWhenUsed/>
    <w:rsid w:val="009B6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6B1D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9B6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6B1D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02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23AB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CC71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.ntu.edu.tw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eog.ntu.edu.tw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wenthung@nt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nthung@ntu.edu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2019-07-03T09:31:00Z</dcterms:created>
  <dcterms:modified xsi:type="dcterms:W3CDTF">2019-07-03T09:31:00Z</dcterms:modified>
</cp:coreProperties>
</file>